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9A1C" w14:textId="248AD73C" w:rsidR="00F64139" w:rsidRPr="009B2EF7" w:rsidRDefault="00B23FEB" w:rsidP="00433633">
      <w:pPr>
        <w:widowControl w:val="0"/>
        <w:spacing w:after="40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Estratégias de Proteção Integrada</w:t>
      </w:r>
      <w:r w:rsidR="00802C3B" w:rsidRPr="009B2EF7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802C3B" w:rsidRPr="009B2EF7">
        <w:rPr>
          <w:rFonts w:asciiTheme="minorHAnsi" w:hAnsiTheme="minorHAnsi" w:cstheme="minorHAnsi"/>
          <w:sz w:val="28"/>
          <w:szCs w:val="22"/>
        </w:rPr>
        <w:t>(</w:t>
      </w:r>
      <w:r w:rsidR="00A064DE" w:rsidRPr="009B2EF7">
        <w:rPr>
          <w:rFonts w:asciiTheme="minorHAnsi" w:hAnsiTheme="minorHAnsi" w:cstheme="minorHAnsi"/>
          <w:sz w:val="28"/>
          <w:szCs w:val="22"/>
        </w:rPr>
        <w:t>6</w:t>
      </w:r>
      <w:r w:rsidR="00802C3B" w:rsidRPr="009B2EF7">
        <w:rPr>
          <w:rFonts w:asciiTheme="minorHAnsi" w:hAnsiTheme="minorHAnsi" w:cstheme="minorHAnsi"/>
          <w:sz w:val="28"/>
          <w:szCs w:val="22"/>
        </w:rPr>
        <w:t xml:space="preserve"> ECTS)</w:t>
      </w:r>
    </w:p>
    <w:p w14:paraId="5939E848" w14:textId="1ADDA8D1" w:rsidR="00802C3B" w:rsidRPr="009B2EF7" w:rsidRDefault="00CA5F10" w:rsidP="00433633">
      <w:pPr>
        <w:pStyle w:val="Heading1"/>
        <w:keepNext w:val="0"/>
        <w:widowControl w:val="0"/>
        <w:spacing w:before="0" w:after="40"/>
        <w:rPr>
          <w:rFonts w:asciiTheme="minorHAnsi" w:hAnsiTheme="minorHAnsi" w:cstheme="minorHAnsi"/>
          <w:sz w:val="22"/>
          <w:szCs w:val="22"/>
        </w:rPr>
      </w:pPr>
      <w:r w:rsidRPr="009B2EF7">
        <w:rPr>
          <w:rFonts w:asciiTheme="minorHAnsi" w:hAnsiTheme="minorHAnsi" w:cstheme="minorHAnsi"/>
          <w:sz w:val="22"/>
          <w:szCs w:val="22"/>
        </w:rPr>
        <w:t>Ano le</w:t>
      </w:r>
      <w:r w:rsidR="00802C3B" w:rsidRPr="009B2EF7">
        <w:rPr>
          <w:rFonts w:asciiTheme="minorHAnsi" w:hAnsiTheme="minorHAnsi" w:cstheme="minorHAnsi"/>
          <w:sz w:val="22"/>
          <w:szCs w:val="22"/>
        </w:rPr>
        <w:t xml:space="preserve">tivo </w:t>
      </w:r>
      <w:r w:rsidR="00802C3B" w:rsidRPr="009B2EF7">
        <w:rPr>
          <w:rFonts w:asciiTheme="minorHAnsi" w:hAnsiTheme="minorHAnsi" w:cstheme="minorHAnsi"/>
          <w:b w:val="0"/>
          <w:sz w:val="22"/>
          <w:szCs w:val="22"/>
        </w:rPr>
        <w:t>20</w:t>
      </w:r>
      <w:r w:rsidR="00F53545" w:rsidRPr="009B2EF7">
        <w:rPr>
          <w:rFonts w:asciiTheme="minorHAnsi" w:hAnsiTheme="minorHAnsi" w:cstheme="minorHAnsi"/>
          <w:b w:val="0"/>
          <w:sz w:val="22"/>
          <w:szCs w:val="22"/>
        </w:rPr>
        <w:t>2</w:t>
      </w:r>
      <w:r w:rsidR="00DB67E5">
        <w:rPr>
          <w:rFonts w:asciiTheme="minorHAnsi" w:hAnsiTheme="minorHAnsi" w:cstheme="minorHAnsi"/>
          <w:b w:val="0"/>
          <w:sz w:val="22"/>
          <w:szCs w:val="22"/>
        </w:rPr>
        <w:t>5</w:t>
      </w:r>
      <w:r w:rsidR="00B84C0B" w:rsidRPr="009B2EF7">
        <w:rPr>
          <w:rFonts w:asciiTheme="minorHAnsi" w:hAnsiTheme="minorHAnsi" w:cstheme="minorHAnsi"/>
          <w:b w:val="0"/>
          <w:sz w:val="22"/>
          <w:szCs w:val="22"/>
        </w:rPr>
        <w:t>/202</w:t>
      </w:r>
      <w:r w:rsidR="00DB67E5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1D90F045" w14:textId="746C0A43" w:rsidR="007C616D" w:rsidRPr="009B2EF7" w:rsidRDefault="00802C3B" w:rsidP="007C616D">
      <w:pPr>
        <w:pStyle w:val="Heading1"/>
        <w:keepNext w:val="0"/>
        <w:widowControl w:val="0"/>
        <w:spacing w:before="0" w:after="40"/>
        <w:rPr>
          <w:rFonts w:asciiTheme="minorHAnsi" w:hAnsiTheme="minorHAnsi" w:cstheme="minorHAnsi"/>
          <w:b w:val="0"/>
          <w:sz w:val="22"/>
          <w:szCs w:val="22"/>
        </w:rPr>
      </w:pPr>
      <w:r w:rsidRPr="009B2EF7">
        <w:rPr>
          <w:rFonts w:asciiTheme="minorHAnsi" w:hAnsiTheme="minorHAnsi" w:cstheme="minorHAnsi"/>
          <w:sz w:val="22"/>
          <w:szCs w:val="22"/>
        </w:rPr>
        <w:t xml:space="preserve">Coordenador: </w:t>
      </w:r>
      <w:r w:rsidR="00B84C0B" w:rsidRPr="009B2EF7">
        <w:rPr>
          <w:rFonts w:asciiTheme="minorHAnsi" w:hAnsiTheme="minorHAnsi" w:cstheme="minorHAnsi"/>
          <w:b w:val="0"/>
          <w:sz w:val="22"/>
          <w:szCs w:val="22"/>
        </w:rPr>
        <w:t>José Carlos Franco</w:t>
      </w:r>
      <w:r w:rsidR="00962E78" w:rsidRPr="009B2EF7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962E78" w:rsidRPr="009B2EF7">
        <w:rPr>
          <w:rFonts w:asciiTheme="minorHAnsi" w:hAnsiTheme="minorHAnsi" w:cstheme="minorHAnsi"/>
          <w:b w:val="0"/>
          <w:color w:val="0000FF"/>
          <w:sz w:val="22"/>
          <w:szCs w:val="22"/>
        </w:rPr>
        <w:t>js</w:t>
      </w:r>
      <w:hyperlink r:id="rId6" w:history="1">
        <w:r w:rsidR="00962E78" w:rsidRPr="009B2EF7">
          <w:rPr>
            <w:rStyle w:val="Hyperlink"/>
            <w:rFonts w:asciiTheme="minorHAnsi" w:hAnsiTheme="minorHAnsi" w:cstheme="minorHAnsi"/>
            <w:b w:val="0"/>
            <w:sz w:val="22"/>
            <w:szCs w:val="22"/>
            <w:u w:val="none"/>
          </w:rPr>
          <w:t>antossilva@isa.ulisboa.pt</w:t>
        </w:r>
      </w:hyperlink>
      <w:r w:rsidR="00962E78" w:rsidRPr="009B2EF7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C5E3FF0" w14:textId="309CDFA3" w:rsidR="00802C3B" w:rsidRPr="009B2EF7" w:rsidRDefault="00802C3B" w:rsidP="00962E78">
      <w:pPr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9B2EF7">
        <w:rPr>
          <w:rFonts w:asciiTheme="minorHAnsi" w:hAnsiTheme="minorHAnsi" w:cstheme="minorHAnsi"/>
          <w:b/>
          <w:sz w:val="22"/>
          <w:szCs w:val="22"/>
        </w:rPr>
        <w:t>Outros docentes</w:t>
      </w:r>
      <w:r w:rsidRPr="009B2EF7">
        <w:rPr>
          <w:rFonts w:asciiTheme="minorHAnsi" w:hAnsiTheme="minorHAnsi" w:cstheme="minorHAnsi"/>
          <w:sz w:val="22"/>
          <w:szCs w:val="22"/>
        </w:rPr>
        <w:t>: Elisabete Figueiredo</w:t>
      </w:r>
      <w:r w:rsidR="00962E78" w:rsidRPr="009B2EF7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 w:rsidR="00962E78" w:rsidRPr="009B2EF7">
          <w:rPr>
            <w:rStyle w:val="Hyperlink"/>
            <w:rFonts w:asciiTheme="minorHAnsi" w:eastAsia="Calibri" w:hAnsiTheme="minorHAnsi" w:cstheme="minorHAnsi"/>
            <w:spacing w:val="-4"/>
            <w:sz w:val="22"/>
            <w:szCs w:val="22"/>
            <w:u w:val="none"/>
          </w:rPr>
          <w:t>elisalacerda@isa.ulisboa.pt</w:t>
        </w:r>
      </w:hyperlink>
      <w:r w:rsidR="00962E78" w:rsidRPr="009B2EF7">
        <w:rPr>
          <w:rStyle w:val="Hyperlink"/>
          <w:rFonts w:asciiTheme="minorHAnsi" w:eastAsia="Calibri" w:hAnsiTheme="minorHAnsi" w:cstheme="minorHAnsi"/>
          <w:color w:val="auto"/>
          <w:spacing w:val="-4"/>
          <w:sz w:val="22"/>
          <w:szCs w:val="22"/>
          <w:u w:val="none"/>
        </w:rPr>
        <w:t>)</w:t>
      </w:r>
      <w:r w:rsidRPr="009B2EF7">
        <w:rPr>
          <w:rFonts w:asciiTheme="minorHAnsi" w:hAnsiTheme="minorHAnsi" w:cstheme="minorHAnsi"/>
          <w:sz w:val="22"/>
          <w:szCs w:val="22"/>
        </w:rPr>
        <w:t xml:space="preserve">, </w:t>
      </w:r>
      <w:r w:rsidR="00DB67E5">
        <w:rPr>
          <w:rFonts w:asciiTheme="minorHAnsi" w:hAnsiTheme="minorHAnsi" w:cstheme="minorHAnsi"/>
          <w:sz w:val="22"/>
          <w:szCs w:val="22"/>
        </w:rPr>
        <w:t>Ana Paula Ramos (</w:t>
      </w:r>
      <w:hyperlink r:id="rId8" w:history="1">
        <w:r w:rsidR="00DB67E5" w:rsidRPr="00945DE0">
          <w:rPr>
            <w:rStyle w:val="Hyperlink"/>
            <w:rFonts w:asciiTheme="minorHAnsi" w:hAnsiTheme="minorHAnsi" w:cstheme="minorHAnsi"/>
            <w:sz w:val="22"/>
            <w:szCs w:val="22"/>
          </w:rPr>
          <w:t>apramos@isa.ulisboa.pt</w:t>
        </w:r>
      </w:hyperlink>
      <w:r w:rsidR="00DB67E5">
        <w:rPr>
          <w:rFonts w:asciiTheme="minorHAnsi" w:hAnsiTheme="minorHAnsi" w:cstheme="minorHAnsi"/>
          <w:sz w:val="22"/>
          <w:szCs w:val="22"/>
        </w:rPr>
        <w:t xml:space="preserve">), </w:t>
      </w:r>
      <w:r w:rsidR="00B23FEB">
        <w:rPr>
          <w:rFonts w:asciiTheme="minorHAnsi" w:hAnsiTheme="minorHAnsi" w:cstheme="minorHAnsi"/>
          <w:sz w:val="22"/>
          <w:szCs w:val="22"/>
        </w:rPr>
        <w:t>especialistas convidados</w:t>
      </w:r>
    </w:p>
    <w:p w14:paraId="26C7AEDC" w14:textId="7268D23B" w:rsidR="00802C3B" w:rsidRPr="009B2EF7" w:rsidRDefault="009B2EF7" w:rsidP="00433633">
      <w:pPr>
        <w:pStyle w:val="Heading1"/>
        <w:keepNext w:val="0"/>
        <w:widowControl w:val="0"/>
        <w:spacing w:before="0" w:after="40"/>
        <w:rPr>
          <w:rFonts w:asciiTheme="minorHAnsi" w:hAnsiTheme="minorHAnsi" w:cstheme="minorHAnsi"/>
          <w:b w:val="0"/>
          <w:sz w:val="22"/>
          <w:szCs w:val="22"/>
        </w:rPr>
      </w:pPr>
      <w:r w:rsidRPr="009B2EF7">
        <w:rPr>
          <w:rFonts w:asciiTheme="minorHAnsi" w:hAnsiTheme="minorHAnsi" w:cstheme="minorHAnsi"/>
          <w:sz w:val="22"/>
          <w:szCs w:val="22"/>
        </w:rPr>
        <w:t>Semestre</w:t>
      </w:r>
      <w:r w:rsidR="00802C3B" w:rsidRPr="009B2EF7">
        <w:rPr>
          <w:rFonts w:asciiTheme="minorHAnsi" w:hAnsiTheme="minorHAnsi" w:cstheme="minorHAnsi"/>
          <w:sz w:val="22"/>
          <w:szCs w:val="22"/>
        </w:rPr>
        <w:t xml:space="preserve">: </w:t>
      </w:r>
      <w:r w:rsidR="000024EA">
        <w:rPr>
          <w:rFonts w:asciiTheme="minorHAnsi" w:hAnsiTheme="minorHAnsi" w:cstheme="minorHAnsi"/>
          <w:b w:val="0"/>
          <w:sz w:val="22"/>
          <w:szCs w:val="22"/>
        </w:rPr>
        <w:t>ímpar</w:t>
      </w:r>
      <w:r w:rsidR="00B23FEB">
        <w:rPr>
          <w:rFonts w:asciiTheme="minorHAnsi" w:hAnsiTheme="minorHAnsi" w:cstheme="minorHAnsi"/>
          <w:b w:val="0"/>
          <w:sz w:val="22"/>
          <w:szCs w:val="22"/>
        </w:rPr>
        <w:t xml:space="preserve"> (1º ou 2º anos)</w:t>
      </w:r>
    </w:p>
    <w:p w14:paraId="73C886E9" w14:textId="271FBE00" w:rsidR="00A064DE" w:rsidRPr="009B2EF7" w:rsidRDefault="00A064DE" w:rsidP="00433633">
      <w:pPr>
        <w:widowControl w:val="0"/>
        <w:tabs>
          <w:tab w:val="left" w:pos="90"/>
          <w:tab w:val="left" w:pos="250"/>
          <w:tab w:val="center" w:pos="2371"/>
          <w:tab w:val="center" w:pos="2881"/>
          <w:tab w:val="center" w:pos="3390"/>
          <w:tab w:val="center" w:pos="3885"/>
          <w:tab w:val="center" w:pos="4379"/>
          <w:tab w:val="center" w:pos="5144"/>
          <w:tab w:val="center" w:pos="5946"/>
          <w:tab w:val="center" w:pos="6568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EF7">
        <w:rPr>
          <w:rFonts w:asciiTheme="minorHAnsi" w:hAnsiTheme="minorHAnsi" w:cstheme="minorHAnsi"/>
          <w:b/>
          <w:sz w:val="22"/>
          <w:szCs w:val="22"/>
        </w:rPr>
        <w:t>Horas de contacto:</w:t>
      </w:r>
      <w:r w:rsidR="004708C7" w:rsidRPr="009B2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3545" w:rsidRPr="009B2EF7">
        <w:rPr>
          <w:rFonts w:asciiTheme="minorHAnsi" w:hAnsiTheme="minorHAnsi" w:cstheme="minorHAnsi"/>
          <w:sz w:val="22"/>
          <w:szCs w:val="22"/>
        </w:rPr>
        <w:t xml:space="preserve">28 </w:t>
      </w:r>
      <w:r w:rsidR="00CA5F10" w:rsidRPr="009B2EF7">
        <w:rPr>
          <w:rFonts w:asciiTheme="minorHAnsi" w:hAnsiTheme="minorHAnsi" w:cstheme="minorHAnsi"/>
          <w:sz w:val="22"/>
          <w:szCs w:val="22"/>
        </w:rPr>
        <w:t>Teóricas</w:t>
      </w:r>
      <w:r w:rsidR="003E1363" w:rsidRPr="009B2EF7">
        <w:rPr>
          <w:rFonts w:asciiTheme="minorHAnsi" w:hAnsiTheme="minorHAnsi" w:cstheme="minorHAnsi"/>
          <w:sz w:val="22"/>
          <w:szCs w:val="22"/>
        </w:rPr>
        <w:t>;</w:t>
      </w:r>
      <w:r w:rsidR="00F53545" w:rsidRPr="009B2EF7">
        <w:rPr>
          <w:rFonts w:asciiTheme="minorHAnsi" w:hAnsiTheme="minorHAnsi" w:cstheme="minorHAnsi"/>
          <w:sz w:val="22"/>
          <w:szCs w:val="22"/>
        </w:rPr>
        <w:t xml:space="preserve"> 28</w:t>
      </w:r>
      <w:r w:rsidR="003E1363" w:rsidRPr="009B2EF7">
        <w:rPr>
          <w:rFonts w:asciiTheme="minorHAnsi" w:hAnsiTheme="minorHAnsi" w:cstheme="minorHAnsi"/>
          <w:sz w:val="22"/>
          <w:szCs w:val="22"/>
        </w:rPr>
        <w:t xml:space="preserve"> Teórico-Práti</w:t>
      </w:r>
      <w:r w:rsidR="00CA5F10" w:rsidRPr="009B2EF7">
        <w:rPr>
          <w:rFonts w:asciiTheme="minorHAnsi" w:hAnsiTheme="minorHAnsi" w:cstheme="minorHAnsi"/>
          <w:sz w:val="22"/>
          <w:szCs w:val="22"/>
        </w:rPr>
        <w:t>ca</w:t>
      </w:r>
      <w:r w:rsidR="00B23FEB">
        <w:rPr>
          <w:rFonts w:asciiTheme="minorHAnsi" w:hAnsiTheme="minorHAnsi" w:cstheme="minorHAnsi"/>
          <w:sz w:val="22"/>
          <w:szCs w:val="22"/>
        </w:rPr>
        <w:t>s</w:t>
      </w:r>
    </w:p>
    <w:p w14:paraId="17F44F59" w14:textId="630DD478" w:rsidR="009B2EF7" w:rsidRPr="009B2EF7" w:rsidRDefault="009B2EF7" w:rsidP="009B2EF7">
      <w:pPr>
        <w:rPr>
          <w:rFonts w:asciiTheme="minorHAnsi" w:hAnsiTheme="minorHAnsi" w:cstheme="minorHAnsi"/>
          <w:b/>
          <w:sz w:val="22"/>
          <w:szCs w:val="22"/>
        </w:rPr>
      </w:pPr>
      <w:r w:rsidRPr="009B2EF7">
        <w:rPr>
          <w:rFonts w:asciiTheme="minorHAnsi" w:hAnsiTheme="minorHAnsi" w:cstheme="minorHAnsi"/>
          <w:b/>
          <w:sz w:val="22"/>
          <w:szCs w:val="22"/>
        </w:rPr>
        <w:t xml:space="preserve">Aulas teóricas: </w:t>
      </w:r>
      <w:r w:rsidR="00AC2147">
        <w:rPr>
          <w:rFonts w:asciiTheme="minorHAnsi" w:hAnsiTheme="minorHAnsi" w:cstheme="minorHAnsi"/>
          <w:bCs/>
          <w:sz w:val="22"/>
          <w:szCs w:val="22"/>
        </w:rPr>
        <w:t>Laboratório</w:t>
      </w:r>
      <w:r w:rsidRPr="00FC20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2DE5">
        <w:rPr>
          <w:rFonts w:asciiTheme="minorHAnsi" w:hAnsiTheme="minorHAnsi" w:cstheme="minorHAnsi"/>
          <w:bCs/>
          <w:sz w:val="22"/>
          <w:szCs w:val="22"/>
        </w:rPr>
        <w:t>24</w:t>
      </w:r>
    </w:p>
    <w:p w14:paraId="1294D4A3" w14:textId="139AE4AE" w:rsidR="009B2EF7" w:rsidRPr="009B2EF7" w:rsidRDefault="00112DE5" w:rsidP="009B2E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quarta</w:t>
      </w:r>
      <w:r w:rsidR="009B2EF7" w:rsidRPr="009B2EF7">
        <w:rPr>
          <w:rFonts w:asciiTheme="minorHAnsi" w:hAnsiTheme="minorHAnsi" w:cstheme="minorHAnsi"/>
          <w:b/>
          <w:sz w:val="22"/>
          <w:szCs w:val="22"/>
        </w:rPr>
        <w:t>-feira</w:t>
      </w:r>
      <w:r w:rsidR="00DD501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FC20B8" w:rsidRPr="00FC20B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FC20B8" w:rsidRPr="00FC20B8">
        <w:rPr>
          <w:rFonts w:asciiTheme="minorHAnsi" w:hAnsiTheme="minorHAnsi" w:cstheme="minorHAnsi"/>
          <w:bCs/>
          <w:sz w:val="22"/>
          <w:szCs w:val="22"/>
        </w:rPr>
        <w:t>:</w:t>
      </w:r>
      <w:r w:rsidR="00B23FEB">
        <w:rPr>
          <w:rFonts w:asciiTheme="minorHAnsi" w:hAnsiTheme="minorHAnsi" w:cstheme="minorHAnsi"/>
          <w:bCs/>
          <w:sz w:val="22"/>
          <w:szCs w:val="22"/>
        </w:rPr>
        <w:t>00</w:t>
      </w:r>
      <w:r w:rsidR="00FC20B8" w:rsidRPr="00FC20B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FC20B8" w:rsidRPr="00FC20B8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FC20B8" w:rsidRPr="00FC20B8">
        <w:rPr>
          <w:rFonts w:asciiTheme="minorHAnsi" w:hAnsiTheme="minorHAnsi" w:cstheme="minorHAnsi"/>
          <w:bCs/>
          <w:sz w:val="22"/>
          <w:szCs w:val="22"/>
        </w:rPr>
        <w:t>:</w:t>
      </w:r>
      <w:r w:rsidR="00B23FEB">
        <w:rPr>
          <w:rFonts w:asciiTheme="minorHAnsi" w:hAnsiTheme="minorHAnsi" w:cstheme="minorHAnsi"/>
          <w:bCs/>
          <w:sz w:val="22"/>
          <w:szCs w:val="22"/>
        </w:rPr>
        <w:t>00</w:t>
      </w:r>
    </w:p>
    <w:p w14:paraId="18937635" w14:textId="00A7FDFE" w:rsidR="00DD5017" w:rsidRPr="00B23FEB" w:rsidRDefault="009B2EF7" w:rsidP="00B23FEB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9B2EF7">
        <w:rPr>
          <w:rFonts w:asciiTheme="minorHAnsi" w:hAnsiTheme="minorHAnsi" w:cstheme="minorHAnsi"/>
          <w:b/>
          <w:sz w:val="22"/>
          <w:szCs w:val="22"/>
        </w:rPr>
        <w:t xml:space="preserve">Aulas teórico-práticas: </w:t>
      </w:r>
      <w:r w:rsidR="00AC2147">
        <w:rPr>
          <w:rFonts w:asciiTheme="minorHAnsi" w:hAnsiTheme="minorHAnsi" w:cstheme="minorHAnsi"/>
          <w:bCs/>
          <w:sz w:val="22"/>
          <w:szCs w:val="22"/>
        </w:rPr>
        <w:t>Laboratório</w:t>
      </w:r>
      <w:r w:rsidRPr="00FC20B8">
        <w:rPr>
          <w:rFonts w:asciiTheme="minorHAnsi" w:hAnsiTheme="minorHAnsi" w:cstheme="minorHAnsi"/>
          <w:bCs/>
          <w:sz w:val="22"/>
          <w:szCs w:val="22"/>
        </w:rPr>
        <w:t xml:space="preserve"> 24</w:t>
      </w:r>
    </w:p>
    <w:p w14:paraId="20EA27A2" w14:textId="5981324C" w:rsidR="009B2EF7" w:rsidRPr="009B2EF7" w:rsidRDefault="00DD5017" w:rsidP="009B2E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</w:t>
      </w:r>
      <w:r w:rsidR="00B23FEB">
        <w:rPr>
          <w:rFonts w:asciiTheme="minorHAnsi" w:hAnsiTheme="minorHAnsi" w:cstheme="minorHAnsi"/>
          <w:b/>
          <w:sz w:val="22"/>
          <w:szCs w:val="22"/>
        </w:rPr>
        <w:t>uinta</w:t>
      </w:r>
      <w:r w:rsidR="009B2EF7" w:rsidRPr="009B2EF7">
        <w:rPr>
          <w:rFonts w:asciiTheme="minorHAnsi" w:hAnsiTheme="minorHAnsi" w:cstheme="minorHAnsi"/>
          <w:b/>
          <w:sz w:val="22"/>
          <w:szCs w:val="22"/>
        </w:rPr>
        <w:t>-feira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5017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3AEC" w:rsidRPr="00993AEC">
        <w:rPr>
          <w:rFonts w:asciiTheme="minorHAnsi" w:hAnsiTheme="minorHAnsi" w:cstheme="minorHAnsi"/>
          <w:bCs/>
          <w:sz w:val="22"/>
          <w:szCs w:val="22"/>
        </w:rPr>
        <w:t>16:45</w:t>
      </w:r>
      <w:r w:rsidR="00993AEC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993AEC" w:rsidRPr="00993AEC">
        <w:rPr>
          <w:rFonts w:asciiTheme="minorHAnsi" w:hAnsiTheme="minorHAnsi" w:cstheme="minorHAnsi"/>
          <w:bCs/>
          <w:sz w:val="22"/>
          <w:szCs w:val="22"/>
        </w:rPr>
        <w:t>18:45</w:t>
      </w:r>
    </w:p>
    <w:p w14:paraId="1A49B012" w14:textId="1BDA08DD" w:rsidR="009B2EF7" w:rsidRDefault="009B2EF7" w:rsidP="00433633">
      <w:pPr>
        <w:widowControl w:val="0"/>
        <w:tabs>
          <w:tab w:val="left" w:pos="90"/>
          <w:tab w:val="left" w:pos="250"/>
          <w:tab w:val="center" w:pos="2371"/>
          <w:tab w:val="center" w:pos="2881"/>
          <w:tab w:val="center" w:pos="3390"/>
          <w:tab w:val="center" w:pos="3885"/>
          <w:tab w:val="center" w:pos="4379"/>
          <w:tab w:val="center" w:pos="5144"/>
          <w:tab w:val="center" w:pos="5946"/>
          <w:tab w:val="center" w:pos="6568"/>
        </w:tabs>
        <w:autoSpaceDE w:val="0"/>
        <w:autoSpaceDN w:val="0"/>
        <w:adjustRightInd w:val="0"/>
        <w:spacing w:after="240"/>
        <w:rPr>
          <w:rFonts w:ascii="Arial Narrow" w:hAnsi="Arial Narrow" w:cs="Arial"/>
          <w:sz w:val="20"/>
          <w:szCs w:val="20"/>
        </w:rPr>
      </w:pPr>
    </w:p>
    <w:p w14:paraId="7F3C1477" w14:textId="4530551E" w:rsidR="00012A2A" w:rsidRPr="009B2EF7" w:rsidRDefault="00012A2A" w:rsidP="00012A2A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Programa</w:t>
      </w:r>
      <w:r w:rsidRPr="009B2E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B8BD1F" w14:textId="12E0AC1D" w:rsidR="00012A2A" w:rsidRDefault="00012A2A" w:rsidP="00433633">
      <w:pPr>
        <w:widowControl w:val="0"/>
        <w:tabs>
          <w:tab w:val="left" w:pos="90"/>
          <w:tab w:val="left" w:pos="250"/>
          <w:tab w:val="center" w:pos="2371"/>
          <w:tab w:val="center" w:pos="2881"/>
          <w:tab w:val="center" w:pos="3390"/>
          <w:tab w:val="center" w:pos="3885"/>
          <w:tab w:val="center" w:pos="4379"/>
          <w:tab w:val="center" w:pos="5144"/>
          <w:tab w:val="center" w:pos="5946"/>
          <w:tab w:val="center" w:pos="6568"/>
        </w:tabs>
        <w:autoSpaceDE w:val="0"/>
        <w:autoSpaceDN w:val="0"/>
        <w:adjustRightInd w:val="0"/>
        <w:spacing w:after="240"/>
        <w:rPr>
          <w:rFonts w:ascii="Arial Narrow" w:hAnsi="Arial Narrow" w:cs="Arial"/>
          <w:sz w:val="20"/>
          <w:szCs w:val="20"/>
        </w:rPr>
      </w:pPr>
    </w:p>
    <w:p w14:paraId="7C2D7AFC" w14:textId="1553AA6C" w:rsidR="00012A2A" w:rsidRDefault="00012A2A" w:rsidP="00012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 xml:space="preserve">Tópicos avançados sobre </w:t>
      </w:r>
      <w:r w:rsidRPr="00606392"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modelos de tomada de decisão</w:t>
      </w: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 xml:space="preserve">, estratégias e táticas </w:t>
      </w:r>
      <w:r w:rsidRPr="00606392"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de proteção integrada em ecossistemas agrários</w:t>
      </w: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;</w:t>
      </w:r>
    </w:p>
    <w:p w14:paraId="45BD9F9D" w14:textId="77777777" w:rsidR="00012A2A" w:rsidRDefault="00012A2A" w:rsidP="00012A2A">
      <w:pPr>
        <w:pStyle w:val="ListParagraph"/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</w:p>
    <w:p w14:paraId="3190151C" w14:textId="6317E6A5" w:rsidR="00012A2A" w:rsidRDefault="00012A2A" w:rsidP="00012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Avanços tecnológicos nos modelos de tomada de decisão e táticas de proteção integrada (e.g., digitalização, IA, biotecnologia);</w:t>
      </w:r>
    </w:p>
    <w:p w14:paraId="1BFA9BE1" w14:textId="77777777" w:rsidR="00012A2A" w:rsidRPr="00012A2A" w:rsidRDefault="00012A2A" w:rsidP="00012A2A">
      <w:pPr>
        <w:pStyle w:val="ListParagrap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</w:p>
    <w:p w14:paraId="70099DD5" w14:textId="40606F38" w:rsidR="00012A2A" w:rsidRDefault="00012A2A" w:rsidP="00012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Análise e discussão de estudos de caso, sobre delineamento de estratégias de proteção integrada, em diferentes sistemas culturais;</w:t>
      </w:r>
    </w:p>
    <w:p w14:paraId="29A372FD" w14:textId="77777777" w:rsidR="00012A2A" w:rsidRPr="00012A2A" w:rsidRDefault="00012A2A" w:rsidP="00012A2A">
      <w:pPr>
        <w:pStyle w:val="ListParagrap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</w:p>
    <w:p w14:paraId="3BF8E9A4" w14:textId="77777777" w:rsidR="00012A2A" w:rsidRDefault="00012A2A" w:rsidP="00012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Workshops/Seminários apresentados por especialistas convidados, com experiência profissional na área da Proteção Integrada, incluindo instituições de I&amp;D, organismos oficiais, organizações de agricultores e empresas;</w:t>
      </w:r>
    </w:p>
    <w:p w14:paraId="57281CC2" w14:textId="77777777" w:rsidR="00012A2A" w:rsidRPr="00322A4F" w:rsidRDefault="00012A2A" w:rsidP="00012A2A">
      <w:pPr>
        <w:pStyle w:val="ListParagrap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</w:p>
    <w:p w14:paraId="38E412B2" w14:textId="77777777" w:rsidR="00012A2A" w:rsidRPr="00606392" w:rsidRDefault="00012A2A" w:rsidP="00012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80" w:lineRule="exact"/>
        <w:jc w:val="both"/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</w:pP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 xml:space="preserve">Projeto de proteção integrada: </w:t>
      </w:r>
      <w:r w:rsidRPr="0090411B"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trabalho de grupo sobre o sistema de proteção de uma cultura, numa exploração agrícola, incluído a caracterização e análise crítica do sistema, e proposta fundamentada de estratégias de proteção integrada, para o sistema em causa, como estudo de caso</w:t>
      </w:r>
      <w:r>
        <w:rPr>
          <w:rFonts w:ascii="Microsoft Sans Serif" w:hAnsi="Microsoft Sans Serif" w:cs="Microsoft Sans Serif"/>
          <w:color w:val="404040" w:themeColor="text1" w:themeTint="BF"/>
          <w:sz w:val="18"/>
          <w:szCs w:val="18"/>
        </w:rPr>
        <w:t>.</w:t>
      </w:r>
    </w:p>
    <w:p w14:paraId="5ED464E5" w14:textId="77777777" w:rsidR="00012A2A" w:rsidRPr="00433633" w:rsidRDefault="00012A2A" w:rsidP="00433633">
      <w:pPr>
        <w:widowControl w:val="0"/>
        <w:tabs>
          <w:tab w:val="left" w:pos="90"/>
          <w:tab w:val="left" w:pos="250"/>
          <w:tab w:val="center" w:pos="2371"/>
          <w:tab w:val="center" w:pos="2881"/>
          <w:tab w:val="center" w:pos="3390"/>
          <w:tab w:val="center" w:pos="3885"/>
          <w:tab w:val="center" w:pos="4379"/>
          <w:tab w:val="center" w:pos="5144"/>
          <w:tab w:val="center" w:pos="5946"/>
          <w:tab w:val="center" w:pos="6568"/>
        </w:tabs>
        <w:autoSpaceDE w:val="0"/>
        <w:autoSpaceDN w:val="0"/>
        <w:adjustRightInd w:val="0"/>
        <w:spacing w:after="240"/>
        <w:rPr>
          <w:rFonts w:ascii="Arial Narrow" w:hAnsi="Arial Narrow" w:cs="Arial"/>
          <w:sz w:val="20"/>
          <w:szCs w:val="20"/>
        </w:rPr>
      </w:pPr>
    </w:p>
    <w:p w14:paraId="19AAD1C8" w14:textId="493E9A8E" w:rsidR="00012A2A" w:rsidRPr="009B2EF7" w:rsidRDefault="002F0C90" w:rsidP="006F1828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9B2EF7">
        <w:rPr>
          <w:rFonts w:asciiTheme="minorHAnsi" w:hAnsiTheme="minorHAnsi" w:cstheme="minorHAnsi"/>
          <w:b/>
          <w:sz w:val="20"/>
          <w:szCs w:val="20"/>
        </w:rPr>
        <w:t>Bibliografia</w:t>
      </w:r>
      <w:r w:rsidR="003F14F5" w:rsidRPr="009B2E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2AF65DC" w14:textId="224DD68F" w:rsidR="003F14F5" w:rsidRPr="009B2EF7" w:rsidRDefault="003F14F5" w:rsidP="00433633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012A2A" w:rsidRPr="00012A2A" w14:paraId="6DBBC27D" w14:textId="77777777" w:rsidTr="00012A2A">
        <w:tc>
          <w:tcPr>
            <w:tcW w:w="9356" w:type="dxa"/>
            <w:shd w:val="clear" w:color="auto" w:fill="auto"/>
            <w:vAlign w:val="center"/>
          </w:tcPr>
          <w:p w14:paraId="604E01FE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</w:rPr>
            </w:pPr>
            <w:r w:rsidRPr="001726E0">
              <w:rPr>
                <w:rFonts w:eastAsia="Times New Roman" w:cstheme="minorHAnsi"/>
                <w:color w:val="444444"/>
                <w:sz w:val="20"/>
                <w:szCs w:val="20"/>
              </w:rPr>
              <w:t>Amaro P (2003) </w:t>
            </w:r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</w:rPr>
              <w:t xml:space="preserve">A </w:t>
            </w:r>
            <w:proofErr w:type="spellStart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</w:rPr>
              <w:t>protecção</w:t>
            </w:r>
            <w:proofErr w:type="spellEnd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</w:rPr>
              <w:t xml:space="preserve"> integrada. </w:t>
            </w:r>
            <w:proofErr w:type="spellStart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</w:rPr>
              <w:t>ISAPress</w:t>
            </w:r>
            <w:proofErr w:type="spellEnd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</w:rPr>
              <w:t>, Lisboa</w:t>
            </w:r>
          </w:p>
          <w:p w14:paraId="2BAF6097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proofErr w:type="spellStart"/>
            <w:r w:rsidRPr="009E4A72">
              <w:rPr>
                <w:rFonts w:eastAsia="Times New Roman" w:cstheme="minorHAnsi"/>
                <w:color w:val="444444"/>
                <w:sz w:val="20"/>
                <w:szCs w:val="20"/>
              </w:rPr>
              <w:t>Barzman</w:t>
            </w:r>
            <w:proofErr w:type="spellEnd"/>
            <w:r w:rsidRPr="009E4A72">
              <w:rPr>
                <w:rFonts w:eastAsia="Times New Roman" w:cstheme="minorHAnsi"/>
                <w:color w:val="444444"/>
                <w:sz w:val="20"/>
                <w:szCs w:val="20"/>
              </w:rPr>
              <w:t xml:space="preserve"> M </w:t>
            </w:r>
            <w:proofErr w:type="spellStart"/>
            <w:r w:rsidRPr="009E4A72">
              <w:rPr>
                <w:rFonts w:eastAsia="Times New Roman" w:cstheme="minorHAnsi"/>
                <w:color w:val="444444"/>
                <w:sz w:val="20"/>
                <w:szCs w:val="20"/>
              </w:rPr>
              <w:t>et</w:t>
            </w:r>
            <w:proofErr w:type="spellEnd"/>
            <w:r w:rsidRPr="009E4A72">
              <w:rPr>
                <w:rFonts w:eastAsia="Times New Roman" w:cstheme="minorHAnsi"/>
                <w:color w:val="444444"/>
                <w:sz w:val="20"/>
                <w:szCs w:val="20"/>
              </w:rPr>
              <w:t xml:space="preserve"> al. </w:t>
            </w: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(2015) Eight principles of IPM. </w:t>
            </w: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Agron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Sustain Dev 35: 1199–1215. </w:t>
            </w:r>
            <w:hyperlink r:id="rId9" w:history="1">
              <w:r w:rsidRPr="001726E0">
                <w:rPr>
                  <w:rStyle w:val="Hyperlink"/>
                  <w:rFonts w:eastAsia="Times New Roman" w:cstheme="minorHAnsi"/>
                  <w:sz w:val="20"/>
                  <w:szCs w:val="20"/>
                  <w:lang w:val="en-US"/>
                </w:rPr>
                <w:t>https://doi.org/10.1007/s13593-015-0327-9</w:t>
              </w:r>
            </w:hyperlink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</w:t>
            </w:r>
          </w:p>
          <w:p w14:paraId="0219493E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EC, DGARD (2023) Farmer's toolbox for IPM – Final report, Publications Office of the EU, </w:t>
            </w:r>
            <w:hyperlink r:id="rId10" w:history="1">
              <w:r w:rsidRPr="001726E0">
                <w:rPr>
                  <w:rStyle w:val="Hyperlink"/>
                  <w:rFonts w:eastAsia="Times New Roman" w:cstheme="minorHAnsi"/>
                  <w:sz w:val="20"/>
                  <w:szCs w:val="20"/>
                  <w:lang w:val="en-US"/>
                </w:rPr>
                <w:t>https://data.europa.eu/doi/10.2762/457165</w:t>
              </w:r>
            </w:hyperlink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</w:t>
            </w:r>
          </w:p>
          <w:p w14:paraId="1F1B6E79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Franco JC (2020) IPM: Sustainable Approach to Crop Protection. In: Leal Filho W et al (eds) Life on Land. Encyclopedia UN Sustainable Development Goals. Springer, Cham. </w:t>
            </w:r>
            <w:hyperlink r:id="rId11" w:history="1">
              <w:r w:rsidRPr="001726E0">
                <w:rPr>
                  <w:rStyle w:val="Hyperlink"/>
                  <w:rFonts w:eastAsia="Times New Roman" w:cstheme="minorHAnsi"/>
                  <w:sz w:val="20"/>
                  <w:szCs w:val="20"/>
                  <w:lang w:val="en-US"/>
                </w:rPr>
                <w:t>https://doi.org/10.1007/978-3-319-71065-5_84-1</w:t>
              </w:r>
            </w:hyperlink>
          </w:p>
          <w:p w14:paraId="7A69CC1B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lastRenderedPageBreak/>
              <w:t>Hatt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S, </w:t>
            </w: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Osawa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N (2019) Beyond “greening”: which paradigms shape sustainable pest management strategies in the EU? </w:t>
            </w: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BioControl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64: 343–355. </w:t>
            </w:r>
            <w:hyperlink r:id="rId12" w:history="1">
              <w:r w:rsidRPr="001726E0">
                <w:rPr>
                  <w:rStyle w:val="Hyperlink"/>
                  <w:rFonts w:eastAsia="Times New Roman" w:cstheme="minorHAnsi"/>
                  <w:sz w:val="20"/>
                  <w:szCs w:val="20"/>
                  <w:lang w:val="en-US"/>
                </w:rPr>
                <w:t>https://doi.org/10.1007/s10526-019-09947-z</w:t>
              </w:r>
            </w:hyperlink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</w:t>
            </w:r>
          </w:p>
          <w:p w14:paraId="47C828D6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Matyjaszczyk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E (2019) Problems of implementing compulsory IPM. Pest </w:t>
            </w: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Manag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Sci 75: 2063-2067. </w:t>
            </w:r>
            <w:hyperlink r:id="rId13" w:history="1">
              <w:r w:rsidRPr="001726E0">
                <w:rPr>
                  <w:rStyle w:val="Hyperlink"/>
                  <w:rFonts w:eastAsia="Times New Roman" w:cstheme="minorHAnsi"/>
                  <w:sz w:val="20"/>
                  <w:szCs w:val="20"/>
                  <w:lang w:val="en-US"/>
                </w:rPr>
                <w:t>https://doi.org/10.1002/ps.5357</w:t>
              </w:r>
            </w:hyperlink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</w:t>
            </w:r>
          </w:p>
          <w:p w14:paraId="64D36B7D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proofErr w:type="spellStart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Pedigo</w:t>
            </w:r>
            <w:proofErr w:type="spellEnd"/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 xml:space="preserve"> LP (1996) </w:t>
            </w:r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  <w:t>Entomology &amp; pest management. Prentice-Hall, Upper Saddle River</w:t>
            </w:r>
          </w:p>
          <w:p w14:paraId="1DCF7AC5" w14:textId="027B2771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Radcliffe EB et al.</w:t>
            </w:r>
            <w:r w:rsidRPr="001726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(eds) </w:t>
            </w:r>
            <w:r w:rsidRPr="001726E0">
              <w:rPr>
                <w:rFonts w:cstheme="minorHAnsi"/>
                <w:sz w:val="20"/>
                <w:szCs w:val="20"/>
                <w:lang w:val="en-US"/>
              </w:rPr>
              <w:t>Radcliffe's IPM World Textbook</w:t>
            </w:r>
            <w:proofErr w:type="gramStart"/>
            <w:r w:rsidRPr="001726E0">
              <w:rPr>
                <w:rFonts w:cstheme="minorHAnsi"/>
                <w:sz w:val="20"/>
                <w:szCs w:val="20"/>
                <w:lang w:val="en-US"/>
              </w:rPr>
              <w:t>, ,</w:t>
            </w:r>
            <w:proofErr w:type="gramEnd"/>
            <w:r w:rsidRPr="001726E0">
              <w:rPr>
                <w:rFonts w:cstheme="minorHAnsi"/>
                <w:sz w:val="20"/>
                <w:szCs w:val="20"/>
                <w:lang w:val="en-US"/>
              </w:rPr>
              <w:t xml:space="preserve"> Univ. Minnesota, St. Paul, MN. URL: </w:t>
            </w:r>
            <w:hyperlink r:id="rId14" w:history="1">
              <w:r w:rsidRPr="006649C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https://ipmworld.umn.edu</w:t>
              </w:r>
            </w:hyperlink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19C2BB93" w14:textId="6D4F5386" w:rsidR="00012A2A" w:rsidRDefault="00012A2A" w:rsidP="00012A2A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r w:rsidRPr="001726E0"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  <w:t>Stern VM et al. (1959) </w:t>
            </w:r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  <w:t xml:space="preserve">The integrated control concept. </w:t>
            </w:r>
            <w:proofErr w:type="spellStart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  <w:t>Hilgardia</w:t>
            </w:r>
            <w:proofErr w:type="spellEnd"/>
            <w:r w:rsidRPr="001726E0"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  <w:t xml:space="preserve"> 29:81-101</w:t>
            </w:r>
          </w:p>
          <w:p w14:paraId="672B3CE5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15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https://www.dgav.pt/plantas/conteudo/sanidade-vegetal/</w:t>
              </w:r>
            </w:hyperlink>
          </w:p>
          <w:p w14:paraId="00CC0F29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16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https://iobc-wprs.org/</w:t>
              </w:r>
            </w:hyperlink>
          </w:p>
          <w:p w14:paraId="2F6E55F0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17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https://www.eppo.int/</w:t>
              </w:r>
            </w:hyperlink>
          </w:p>
          <w:p w14:paraId="36E39AF3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18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https://www.efsa.europa.eu/pt/publications</w:t>
              </w:r>
            </w:hyperlink>
          </w:p>
          <w:p w14:paraId="54BC3B8C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19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https://food.ec.europa.eu/plants/pesticides/sustainable-use-pesticides/integrated-pest-management-ipm_en</w:t>
              </w:r>
            </w:hyperlink>
          </w:p>
          <w:p w14:paraId="54455528" w14:textId="77777777" w:rsidR="00012A2A" w:rsidRP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bCs/>
                <w:color w:val="444444"/>
                <w:sz w:val="20"/>
                <w:szCs w:val="20"/>
                <w:lang w:val="en-US"/>
              </w:rPr>
            </w:pPr>
            <w:hyperlink r:id="rId20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/>
                </w:rPr>
                <w:t>http://www.endure-network.eu/endure</w:t>
              </w:r>
            </w:hyperlink>
          </w:p>
          <w:p w14:paraId="2277DEF8" w14:textId="02E0BD92" w:rsidR="00012A2A" w:rsidRDefault="00915819" w:rsidP="00012A2A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  <w:hyperlink r:id="rId21" w:history="1">
              <w:r w:rsidR="00012A2A" w:rsidRPr="00012A2A">
                <w:rPr>
                  <w:rStyle w:val="Hyperlink"/>
                  <w:rFonts w:eastAsia="Times New Roman" w:cstheme="minorHAnsi"/>
                  <w:bCs/>
                  <w:sz w:val="20"/>
                  <w:szCs w:val="20"/>
                </w:rPr>
                <w:t>https://ipm.ucanr.edu/</w:t>
              </w:r>
            </w:hyperlink>
          </w:p>
          <w:p w14:paraId="5C380F9C" w14:textId="77777777" w:rsidR="00012A2A" w:rsidRPr="001726E0" w:rsidRDefault="00012A2A" w:rsidP="00D33E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eastAsia="Times New Roman" w:cstheme="minorHAnsi"/>
                <w:color w:val="444444"/>
                <w:sz w:val="20"/>
                <w:szCs w:val="20"/>
                <w:lang w:val="en-US"/>
              </w:rPr>
            </w:pPr>
          </w:p>
        </w:tc>
      </w:tr>
    </w:tbl>
    <w:p w14:paraId="0A05B824" w14:textId="77777777" w:rsidR="002F0C90" w:rsidRPr="009B2EF7" w:rsidRDefault="002F0C90" w:rsidP="002F0C90">
      <w:pPr>
        <w:pStyle w:val="NormalWeb"/>
        <w:widowControl w:val="0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DEC6CE" w14:textId="717AB774" w:rsidR="002C6C4A" w:rsidRPr="009B2EF7" w:rsidRDefault="000C49C2" w:rsidP="006F1828">
      <w:pPr>
        <w:widowControl w:val="0"/>
        <w:shd w:val="clear" w:color="auto" w:fill="D9D9D9" w:themeFill="background1" w:themeFillShade="D9"/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2EF7">
        <w:rPr>
          <w:rFonts w:asciiTheme="minorHAnsi" w:hAnsiTheme="minorHAnsi" w:cstheme="minorHAnsi"/>
          <w:b/>
          <w:bCs/>
          <w:sz w:val="20"/>
          <w:szCs w:val="20"/>
        </w:rPr>
        <w:t xml:space="preserve">Sistema de </w:t>
      </w:r>
      <w:r w:rsidR="002C6C4A" w:rsidRPr="009B2EF7">
        <w:rPr>
          <w:rFonts w:asciiTheme="minorHAnsi" w:hAnsiTheme="minorHAnsi" w:cstheme="minorHAnsi"/>
          <w:b/>
          <w:bCs/>
          <w:sz w:val="20"/>
          <w:szCs w:val="20"/>
        </w:rPr>
        <w:t>Avaliação</w:t>
      </w:r>
    </w:p>
    <w:p w14:paraId="24265D10" w14:textId="50CC09F6" w:rsidR="002F65B0" w:rsidRDefault="002F65B0" w:rsidP="002F65B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t-PT"/>
        </w:rPr>
      </w:pPr>
    </w:p>
    <w:p w14:paraId="3EA6F23E" w14:textId="25A80021" w:rsidR="000024EA" w:rsidRDefault="000024EA" w:rsidP="002F65B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t-PT"/>
        </w:rPr>
      </w:pPr>
    </w:p>
    <w:p w14:paraId="6C60122E" w14:textId="77777777" w:rsidR="00144BC4" w:rsidRPr="000E265E" w:rsidRDefault="00144BC4" w:rsidP="00593B98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I. Obtenção de frequência: presença a 75 % das aulas</w:t>
      </w:r>
    </w:p>
    <w:p w14:paraId="3CA65CA2" w14:textId="77777777" w:rsidR="00144BC4" w:rsidRPr="000E265E" w:rsidRDefault="00144BC4" w:rsidP="00593B98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II. Modalidades de avaliação</w:t>
      </w:r>
    </w:p>
    <w:p w14:paraId="553C784F" w14:textId="77777777" w:rsidR="00144BC4" w:rsidRDefault="00144BC4" w:rsidP="00593B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80" w:lineRule="exact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Avaliação contínua</w:t>
      </w:r>
    </w:p>
    <w:p w14:paraId="0BE05727" w14:textId="1E37243E" w:rsidR="00144BC4" w:rsidRPr="000E265E" w:rsidRDefault="00144BC4" w:rsidP="00593B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80" w:lineRule="exact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Projeto (4</w:t>
      </w:r>
      <w:r w:rsidR="007539A6">
        <w:rPr>
          <w:rFonts w:ascii="Gill Sans MT" w:hAnsi="Gill Sans MT" w:cs="Microsoft Sans Serif"/>
          <w:color w:val="404040" w:themeColor="text1" w:themeTint="BF"/>
          <w:sz w:val="20"/>
          <w:szCs w:val="20"/>
        </w:rPr>
        <w:t>5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%): 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inclui documento escrito (2</w:t>
      </w:r>
      <w:r w:rsidR="007539A6">
        <w:rPr>
          <w:rFonts w:ascii="Gill Sans MT" w:hAnsi="Gill Sans MT" w:cs="Microsoft Sans Serif"/>
          <w:color w:val="404040" w:themeColor="text1" w:themeTint="BF"/>
          <w:sz w:val="20"/>
          <w:szCs w:val="20"/>
        </w:rPr>
        <w:t>5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%) e a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presentação oral e discussão (20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%);</w:t>
      </w:r>
    </w:p>
    <w:p w14:paraId="387C2E96" w14:textId="1C05EC5A" w:rsidR="00144BC4" w:rsidRPr="000E265E" w:rsidRDefault="00144BC4" w:rsidP="00593B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80" w:lineRule="exact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Participação nos 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workshops/seminários e outras aulas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(</w:t>
      </w:r>
      <w:r w:rsidR="007539A6">
        <w:rPr>
          <w:rFonts w:ascii="Gill Sans MT" w:hAnsi="Gill Sans MT" w:cs="Microsoft Sans Serif"/>
          <w:color w:val="404040" w:themeColor="text1" w:themeTint="BF"/>
          <w:sz w:val="20"/>
          <w:szCs w:val="20"/>
        </w:rPr>
        <w:t>5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%);</w:t>
      </w:r>
    </w:p>
    <w:p w14:paraId="0F140BE8" w14:textId="77777777" w:rsidR="00144BC4" w:rsidRPr="000E265E" w:rsidRDefault="00144BC4" w:rsidP="00593B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80" w:lineRule="exact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Teste teórico (5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0%).</w:t>
      </w:r>
    </w:p>
    <w:p w14:paraId="0F198DD7" w14:textId="77777777" w:rsidR="00144BC4" w:rsidRPr="000E265E" w:rsidRDefault="00144BC4" w:rsidP="00593B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80" w:lineRule="exact"/>
        <w:jc w:val="both"/>
        <w:rPr>
          <w:rFonts w:ascii="Gill Sans MT" w:hAnsi="Gill Sans MT" w:cs="Microsoft Sans Serif"/>
          <w:color w:val="404040" w:themeColor="text1" w:themeTint="BF"/>
          <w:sz w:val="20"/>
          <w:szCs w:val="20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Exame Final – prova teórico-prática, à qual terão acesso to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dos os alunos com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frequência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e sem avaliação contínua.</w:t>
      </w:r>
    </w:p>
    <w:p w14:paraId="3919B008" w14:textId="30910D4F" w:rsidR="000024EA" w:rsidRPr="009B2EF7" w:rsidRDefault="00144BC4" w:rsidP="00593B98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t-PT"/>
        </w:rPr>
      </w:pP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III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.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Aprovação: serão ap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rovados os alunos que obtenham 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>classificaç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ão final mínima de 10 valores, sendo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obrigatório ter nota mínima de 10 valores</w:t>
      </w:r>
      <w:r>
        <w:rPr>
          <w:rFonts w:ascii="Gill Sans MT" w:hAnsi="Gill Sans MT" w:cs="Microsoft Sans Serif"/>
          <w:color w:val="404040" w:themeColor="text1" w:themeTint="BF"/>
          <w:sz w:val="20"/>
          <w:szCs w:val="20"/>
        </w:rPr>
        <w:t>,</w:t>
      </w:r>
      <w:r w:rsidRPr="000E265E">
        <w:rPr>
          <w:rFonts w:ascii="Gill Sans MT" w:hAnsi="Gill Sans MT" w:cs="Microsoft Sans Serif"/>
          <w:color w:val="404040" w:themeColor="text1" w:themeTint="BF"/>
          <w:sz w:val="20"/>
          <w:szCs w:val="20"/>
        </w:rPr>
        <w:t xml:space="preserve"> na componente teste</w:t>
      </w:r>
      <w:r w:rsidR="00593B98">
        <w:rPr>
          <w:rFonts w:ascii="Gill Sans MT" w:hAnsi="Gill Sans MT" w:cs="Microsoft Sans Serif"/>
          <w:color w:val="404040" w:themeColor="text1" w:themeTint="BF"/>
          <w:sz w:val="20"/>
          <w:szCs w:val="20"/>
        </w:rPr>
        <w:t>.</w:t>
      </w:r>
    </w:p>
    <w:sectPr w:rsidR="000024EA" w:rsidRPr="009B2EF7" w:rsidSect="00802C3B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635"/>
    <w:multiLevelType w:val="hybridMultilevel"/>
    <w:tmpl w:val="8698F754"/>
    <w:lvl w:ilvl="0" w:tplc="E5B29CE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528D"/>
    <w:multiLevelType w:val="hybridMultilevel"/>
    <w:tmpl w:val="BEB22A0A"/>
    <w:lvl w:ilvl="0" w:tplc="45867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263F"/>
    <w:multiLevelType w:val="hybridMultilevel"/>
    <w:tmpl w:val="ECA64C58"/>
    <w:lvl w:ilvl="0" w:tplc="6082B5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25282"/>
    <w:multiLevelType w:val="hybridMultilevel"/>
    <w:tmpl w:val="DB98D79A"/>
    <w:lvl w:ilvl="0" w:tplc="ABD0E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11D08"/>
    <w:multiLevelType w:val="hybridMultilevel"/>
    <w:tmpl w:val="BA8409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7623"/>
    <w:multiLevelType w:val="singleLevel"/>
    <w:tmpl w:val="F914059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6" w15:restartNumberingAfterBreak="0">
    <w:nsid w:val="542022BB"/>
    <w:multiLevelType w:val="hybridMultilevel"/>
    <w:tmpl w:val="A356CCB6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76F1"/>
    <w:multiLevelType w:val="hybridMultilevel"/>
    <w:tmpl w:val="74D8173C"/>
    <w:lvl w:ilvl="0" w:tplc="0816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D546CE0"/>
    <w:multiLevelType w:val="hybridMultilevel"/>
    <w:tmpl w:val="578645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0D3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80FDB"/>
    <w:multiLevelType w:val="singleLevel"/>
    <w:tmpl w:val="5D7277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6B"/>
    <w:rsid w:val="000009C2"/>
    <w:rsid w:val="000024EA"/>
    <w:rsid w:val="000025F8"/>
    <w:rsid w:val="00012A2A"/>
    <w:rsid w:val="00016F07"/>
    <w:rsid w:val="00035670"/>
    <w:rsid w:val="00037089"/>
    <w:rsid w:val="000567CF"/>
    <w:rsid w:val="000712FB"/>
    <w:rsid w:val="000A34E1"/>
    <w:rsid w:val="000C49C2"/>
    <w:rsid w:val="000E4209"/>
    <w:rsid w:val="00102C0B"/>
    <w:rsid w:val="00112559"/>
    <w:rsid w:val="00112DE5"/>
    <w:rsid w:val="00127A43"/>
    <w:rsid w:val="00132610"/>
    <w:rsid w:val="00135364"/>
    <w:rsid w:val="00144BBF"/>
    <w:rsid w:val="00144BC4"/>
    <w:rsid w:val="00157C63"/>
    <w:rsid w:val="00170F74"/>
    <w:rsid w:val="001801D3"/>
    <w:rsid w:val="001A6736"/>
    <w:rsid w:val="001D565B"/>
    <w:rsid w:val="001D5AD7"/>
    <w:rsid w:val="001D7557"/>
    <w:rsid w:val="001F3724"/>
    <w:rsid w:val="001F50BD"/>
    <w:rsid w:val="00215EFB"/>
    <w:rsid w:val="00224DC8"/>
    <w:rsid w:val="002261F4"/>
    <w:rsid w:val="00232CFB"/>
    <w:rsid w:val="00237977"/>
    <w:rsid w:val="0025528C"/>
    <w:rsid w:val="002571C1"/>
    <w:rsid w:val="00260199"/>
    <w:rsid w:val="00266149"/>
    <w:rsid w:val="002920B3"/>
    <w:rsid w:val="0029324D"/>
    <w:rsid w:val="00295B1C"/>
    <w:rsid w:val="002B7585"/>
    <w:rsid w:val="002C0461"/>
    <w:rsid w:val="002C6C4A"/>
    <w:rsid w:val="002D3916"/>
    <w:rsid w:val="002D5125"/>
    <w:rsid w:val="002F0C90"/>
    <w:rsid w:val="002F3739"/>
    <w:rsid w:val="002F65B0"/>
    <w:rsid w:val="00301A43"/>
    <w:rsid w:val="00341AF1"/>
    <w:rsid w:val="003733F4"/>
    <w:rsid w:val="00375710"/>
    <w:rsid w:val="003808B7"/>
    <w:rsid w:val="00381753"/>
    <w:rsid w:val="00392101"/>
    <w:rsid w:val="003A1364"/>
    <w:rsid w:val="003E1363"/>
    <w:rsid w:val="003E29BD"/>
    <w:rsid w:val="003F14F5"/>
    <w:rsid w:val="0040174C"/>
    <w:rsid w:val="00423356"/>
    <w:rsid w:val="00433633"/>
    <w:rsid w:val="00443E6B"/>
    <w:rsid w:val="00451DF4"/>
    <w:rsid w:val="004561B0"/>
    <w:rsid w:val="004708C7"/>
    <w:rsid w:val="004735F8"/>
    <w:rsid w:val="004811FD"/>
    <w:rsid w:val="004965B6"/>
    <w:rsid w:val="004B16B1"/>
    <w:rsid w:val="004B7B4E"/>
    <w:rsid w:val="004E39B3"/>
    <w:rsid w:val="004E6E0B"/>
    <w:rsid w:val="005104D8"/>
    <w:rsid w:val="005916CD"/>
    <w:rsid w:val="00593B98"/>
    <w:rsid w:val="005A4153"/>
    <w:rsid w:val="005B11F4"/>
    <w:rsid w:val="005C44E7"/>
    <w:rsid w:val="005F0347"/>
    <w:rsid w:val="005F7E42"/>
    <w:rsid w:val="00663843"/>
    <w:rsid w:val="00665596"/>
    <w:rsid w:val="006968AC"/>
    <w:rsid w:val="006C2A87"/>
    <w:rsid w:val="006F1828"/>
    <w:rsid w:val="006F2D18"/>
    <w:rsid w:val="0070336B"/>
    <w:rsid w:val="00725ED1"/>
    <w:rsid w:val="00726DA5"/>
    <w:rsid w:val="0073257E"/>
    <w:rsid w:val="0074467B"/>
    <w:rsid w:val="00752A73"/>
    <w:rsid w:val="007539A6"/>
    <w:rsid w:val="00755A62"/>
    <w:rsid w:val="007A5BB4"/>
    <w:rsid w:val="007C4D54"/>
    <w:rsid w:val="007C616D"/>
    <w:rsid w:val="007D7E9B"/>
    <w:rsid w:val="007F2502"/>
    <w:rsid w:val="00800D12"/>
    <w:rsid w:val="00802C3B"/>
    <w:rsid w:val="00803B7F"/>
    <w:rsid w:val="0081780A"/>
    <w:rsid w:val="008226C5"/>
    <w:rsid w:val="00823A3E"/>
    <w:rsid w:val="00834115"/>
    <w:rsid w:val="0085068B"/>
    <w:rsid w:val="00850F36"/>
    <w:rsid w:val="008571BC"/>
    <w:rsid w:val="008736BD"/>
    <w:rsid w:val="00881E23"/>
    <w:rsid w:val="008B58BC"/>
    <w:rsid w:val="0090289F"/>
    <w:rsid w:val="00915819"/>
    <w:rsid w:val="009277E9"/>
    <w:rsid w:val="00954DE5"/>
    <w:rsid w:val="00957335"/>
    <w:rsid w:val="00962E78"/>
    <w:rsid w:val="009735B4"/>
    <w:rsid w:val="00993AEC"/>
    <w:rsid w:val="009A5985"/>
    <w:rsid w:val="009B2EF7"/>
    <w:rsid w:val="009B5EA6"/>
    <w:rsid w:val="009B6B07"/>
    <w:rsid w:val="009F05CD"/>
    <w:rsid w:val="00A064DE"/>
    <w:rsid w:val="00A10D31"/>
    <w:rsid w:val="00A110D4"/>
    <w:rsid w:val="00A26F2B"/>
    <w:rsid w:val="00A42E08"/>
    <w:rsid w:val="00A45E46"/>
    <w:rsid w:val="00A645CE"/>
    <w:rsid w:val="00A67CB9"/>
    <w:rsid w:val="00A709E9"/>
    <w:rsid w:val="00AC0AA2"/>
    <w:rsid w:val="00AC188E"/>
    <w:rsid w:val="00AC2147"/>
    <w:rsid w:val="00AE6BCD"/>
    <w:rsid w:val="00AF5D14"/>
    <w:rsid w:val="00AF731E"/>
    <w:rsid w:val="00B04B0F"/>
    <w:rsid w:val="00B23FEB"/>
    <w:rsid w:val="00B26CBE"/>
    <w:rsid w:val="00B27EE2"/>
    <w:rsid w:val="00B516C6"/>
    <w:rsid w:val="00B7265C"/>
    <w:rsid w:val="00B7270F"/>
    <w:rsid w:val="00B76346"/>
    <w:rsid w:val="00B84C0B"/>
    <w:rsid w:val="00B9711F"/>
    <w:rsid w:val="00BB1E51"/>
    <w:rsid w:val="00BD073B"/>
    <w:rsid w:val="00BD26A3"/>
    <w:rsid w:val="00BD4E37"/>
    <w:rsid w:val="00BF761F"/>
    <w:rsid w:val="00C17DC0"/>
    <w:rsid w:val="00C2400E"/>
    <w:rsid w:val="00C26393"/>
    <w:rsid w:val="00C567B1"/>
    <w:rsid w:val="00C732AE"/>
    <w:rsid w:val="00CA5F10"/>
    <w:rsid w:val="00CA6F8E"/>
    <w:rsid w:val="00CC1137"/>
    <w:rsid w:val="00D27B34"/>
    <w:rsid w:val="00D4421E"/>
    <w:rsid w:val="00DB67E5"/>
    <w:rsid w:val="00DC7E52"/>
    <w:rsid w:val="00DD1787"/>
    <w:rsid w:val="00DD5017"/>
    <w:rsid w:val="00E3201F"/>
    <w:rsid w:val="00E337E4"/>
    <w:rsid w:val="00E675E6"/>
    <w:rsid w:val="00EA6C46"/>
    <w:rsid w:val="00EB6B96"/>
    <w:rsid w:val="00EC5650"/>
    <w:rsid w:val="00EC62E4"/>
    <w:rsid w:val="00EE476B"/>
    <w:rsid w:val="00EE50A9"/>
    <w:rsid w:val="00EE6451"/>
    <w:rsid w:val="00F16384"/>
    <w:rsid w:val="00F2372A"/>
    <w:rsid w:val="00F30A9D"/>
    <w:rsid w:val="00F4215D"/>
    <w:rsid w:val="00F53545"/>
    <w:rsid w:val="00F614FA"/>
    <w:rsid w:val="00F64139"/>
    <w:rsid w:val="00F71A17"/>
    <w:rsid w:val="00F7213F"/>
    <w:rsid w:val="00F76E62"/>
    <w:rsid w:val="00F970A8"/>
    <w:rsid w:val="00FA3D70"/>
    <w:rsid w:val="00FA6F04"/>
    <w:rsid w:val="00FC20B8"/>
    <w:rsid w:val="00FC30BE"/>
    <w:rsid w:val="00FC6783"/>
    <w:rsid w:val="00FD5EFF"/>
    <w:rsid w:val="00FD7696"/>
    <w:rsid w:val="00FE7CA8"/>
    <w:rsid w:val="00FF1BC2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1AF1D"/>
  <w15:docId w15:val="{FB602395-1D7F-4774-94E6-24A335D0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A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2C3B"/>
    <w:pPr>
      <w:keepNext/>
      <w:spacing w:before="120"/>
      <w:jc w:val="both"/>
      <w:outlineLvl w:val="0"/>
    </w:pPr>
    <w:rPr>
      <w:rFonts w:ascii="Tahoma" w:hAnsi="Tahoma" w:cs="Tahoma"/>
      <w:b/>
      <w:sz w:val="20"/>
    </w:rPr>
  </w:style>
  <w:style w:type="paragraph" w:styleId="Heading2">
    <w:name w:val="heading 2"/>
    <w:basedOn w:val="Normal"/>
    <w:next w:val="Normal"/>
    <w:qFormat/>
    <w:rsid w:val="00802C3B"/>
    <w:pPr>
      <w:keepNext/>
      <w:outlineLvl w:val="1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2C3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  <w:lang w:eastAsia="pt-PT"/>
    </w:rPr>
  </w:style>
  <w:style w:type="character" w:styleId="Hyperlink">
    <w:name w:val="Hyperlink"/>
    <w:rsid w:val="00A064D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A1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3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811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E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50A9"/>
    <w:rPr>
      <w:b/>
      <w:bCs/>
      <w:lang w:eastAsia="en-US"/>
    </w:rPr>
  </w:style>
  <w:style w:type="character" w:styleId="FollowedHyperlink">
    <w:name w:val="FollowedHyperlink"/>
    <w:basedOn w:val="DefaultParagraphFont"/>
    <w:rsid w:val="001D755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0A9D"/>
    <w:pPr>
      <w:ind w:left="720"/>
      <w:contextualSpacing/>
    </w:pPr>
  </w:style>
  <w:style w:type="table" w:styleId="TableGrid">
    <w:name w:val="Table Grid"/>
    <w:basedOn w:val="TableNormal"/>
    <w:uiPriority w:val="59"/>
    <w:rsid w:val="00012A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mos@isa.ulisboa.pt" TargetMode="External"/><Relationship Id="rId13" Type="http://schemas.openxmlformats.org/officeDocument/2006/relationships/hyperlink" Target="https://doi.org/10.1002/ps.5357" TargetMode="External"/><Relationship Id="rId18" Type="http://schemas.openxmlformats.org/officeDocument/2006/relationships/hyperlink" Target="https://www.efsa.europa.eu/pt/public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m.ucanr.edu/" TargetMode="External"/><Relationship Id="rId7" Type="http://schemas.openxmlformats.org/officeDocument/2006/relationships/hyperlink" Target="mailto:elisalacerda@isa.ulisboa.pt" TargetMode="External"/><Relationship Id="rId12" Type="http://schemas.openxmlformats.org/officeDocument/2006/relationships/hyperlink" Target="https://doi.org/10.1007/s10526-019-09947-z" TargetMode="External"/><Relationship Id="rId17" Type="http://schemas.openxmlformats.org/officeDocument/2006/relationships/hyperlink" Target="https://www.eppo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bc-wprs.org/" TargetMode="External"/><Relationship Id="rId20" Type="http://schemas.openxmlformats.org/officeDocument/2006/relationships/hyperlink" Target="http://www.endure-network.eu/endur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tossilva@isa.ulisboa.pt" TargetMode="External"/><Relationship Id="rId11" Type="http://schemas.openxmlformats.org/officeDocument/2006/relationships/hyperlink" Target="https://doi.org/10.1007/978-3-319-71065-5_84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gav.pt/plantas/conteudo/sanidade-veget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ta.europa.eu/doi/10.2762/457165" TargetMode="External"/><Relationship Id="rId19" Type="http://schemas.openxmlformats.org/officeDocument/2006/relationships/hyperlink" Target="https://food.ec.europa.eu/plants/pesticides/sustainable-use-pesticides/integrated-pest-management-ipm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3593-015-0327-9" TargetMode="External"/><Relationship Id="rId14" Type="http://schemas.openxmlformats.org/officeDocument/2006/relationships/hyperlink" Target="https://ipmworld.umn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658CC-CCFA-46A4-AD81-1E3AFFCB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Nome da disciplina: Protecção das Plantas (7,5 ECTS)</vt:lpstr>
      <vt:lpstr>Nome da disciplina: Protecção das Plantas (7,5 ECTS)</vt:lpstr>
    </vt:vector>
  </TitlesOfParts>
  <Company>ISA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disciplina: Protecção das Plantas (7,5 ECTS)</dc:title>
  <dc:creator>arlindolima</dc:creator>
  <cp:lastModifiedBy>José Franco</cp:lastModifiedBy>
  <cp:revision>7</cp:revision>
  <cp:lastPrinted>2013-09-09T11:25:00Z</cp:lastPrinted>
  <dcterms:created xsi:type="dcterms:W3CDTF">2025-09-09T21:40:00Z</dcterms:created>
  <dcterms:modified xsi:type="dcterms:W3CDTF">2025-09-09T23:17:00Z</dcterms:modified>
</cp:coreProperties>
</file>